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40" w:lineRule="auto"/>
        <w:rPr>
          <w:color w:val="c00000"/>
          <w:sz w:val="25"/>
          <w:szCs w:val="25"/>
          <w:highlight w:val="white"/>
        </w:rPr>
      </w:pPr>
      <w:r w:rsidDel="00000000" w:rsidR="00000000" w:rsidRPr="00000000">
        <w:rPr>
          <w:b w:val="1"/>
          <w:color w:val="c00000"/>
          <w:sz w:val="28"/>
          <w:szCs w:val="28"/>
          <w:highlight w:val="white"/>
          <w:rtl w:val="0"/>
        </w:rPr>
        <w:t xml:space="preserve">BOLOGNA LICENSING TRADE FAIR/KIDS</w:t>
      </w:r>
      <w:r w:rsidDel="00000000" w:rsidR="00000000" w:rsidRPr="00000000">
        <w:rPr>
          <w:color w:val="c00000"/>
          <w:sz w:val="28"/>
          <w:szCs w:val="28"/>
          <w:highlight w:val="white"/>
          <w:rtl w:val="0"/>
        </w:rPr>
        <w:br w:type="textWrapping"/>
      </w:r>
      <w:r w:rsidDel="00000000" w:rsidR="00000000" w:rsidRPr="00000000">
        <w:rPr>
          <w:i w:val="1"/>
          <w:color w:val="c00000"/>
          <w:sz w:val="25"/>
          <w:szCs w:val="25"/>
          <w:highlight w:val="white"/>
          <w:rtl w:val="0"/>
        </w:rPr>
        <w:t xml:space="preserve">BLTF/K festeggia la sua 17ª edizione nel cuore di Bologna Children’s Book Fair </w:t>
        <w:br w:type="textWrapping"/>
        <w:t xml:space="preserve">Dall’8 all’11 aprile 2024, quattro giornate dedicate alle ultime novità e tendenze dei brand per bambini, ragazzi e young adults</w:t>
      </w:r>
      <w:r w:rsidDel="00000000" w:rsidR="00000000" w:rsidRPr="00000000">
        <w:rPr>
          <w:rtl w:val="0"/>
        </w:rPr>
      </w:r>
    </w:p>
    <w:p w:rsidR="00000000" w:rsidDel="00000000" w:rsidP="00000000" w:rsidRDefault="00000000" w:rsidRPr="00000000" w14:paraId="00000002">
      <w:pPr>
        <w:spacing w:after="140" w:lineRule="auto"/>
        <w:ind w:hanging="425"/>
        <w:jc w:val="both"/>
        <w:rPr>
          <w:sz w:val="22"/>
          <w:szCs w:val="22"/>
          <w:highlight w:val="white"/>
        </w:rPr>
      </w:pPr>
      <w:r w:rsidDel="00000000" w:rsidR="00000000" w:rsidRPr="00000000">
        <w:rPr/>
        <w:drawing>
          <wp:inline distB="0" distT="0" distL="0" distR="0">
            <wp:extent cx="1104900" cy="1104900"/>
            <wp:effectExtent b="0" l="0" r="0" t="0"/>
            <wp:docPr id="7"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1104900" cy="11049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spacing w:after="140" w:lineRule="auto"/>
        <w:jc w:val="both"/>
        <w:rPr>
          <w:sz w:val="21"/>
          <w:szCs w:val="21"/>
          <w:highlight w:val="white"/>
        </w:rPr>
      </w:pPr>
      <w:r w:rsidDel="00000000" w:rsidR="00000000" w:rsidRPr="00000000">
        <w:rPr>
          <w:b w:val="1"/>
          <w:sz w:val="21"/>
          <w:szCs w:val="21"/>
          <w:highlight w:val="white"/>
          <w:rtl w:val="0"/>
        </w:rPr>
        <w:t xml:space="preserve">Bologna Licensing Trade Fair/Kids (BLTF/K)</w:t>
      </w:r>
      <w:r w:rsidDel="00000000" w:rsidR="00000000" w:rsidRPr="00000000">
        <w:rPr>
          <w:sz w:val="21"/>
          <w:szCs w:val="21"/>
          <w:highlight w:val="white"/>
          <w:rtl w:val="0"/>
        </w:rPr>
        <w:t xml:space="preserve">, l’</w:t>
      </w:r>
      <w:r w:rsidDel="00000000" w:rsidR="00000000" w:rsidRPr="00000000">
        <w:rPr>
          <w:b w:val="1"/>
          <w:sz w:val="21"/>
          <w:szCs w:val="21"/>
          <w:highlight w:val="white"/>
          <w:rtl w:val="0"/>
        </w:rPr>
        <w:t xml:space="preserve">evento di licensing</w:t>
      </w:r>
      <w:r w:rsidDel="00000000" w:rsidR="00000000" w:rsidRPr="00000000">
        <w:rPr>
          <w:sz w:val="21"/>
          <w:szCs w:val="21"/>
          <w:highlight w:val="white"/>
          <w:rtl w:val="0"/>
        </w:rPr>
        <w:t xml:space="preserve"> internazionale dedicato alla compravendita di marchi e properties per bambini, ragazzi e giovani adulti, torna a BolognaFiere </w:t>
      </w:r>
      <w:r w:rsidDel="00000000" w:rsidR="00000000" w:rsidRPr="00000000">
        <w:rPr>
          <w:b w:val="1"/>
          <w:sz w:val="21"/>
          <w:szCs w:val="21"/>
          <w:highlight w:val="white"/>
          <w:rtl w:val="0"/>
        </w:rPr>
        <w:t xml:space="preserve">dall’8 all’11 aprile 2024</w:t>
      </w:r>
      <w:r w:rsidDel="00000000" w:rsidR="00000000" w:rsidRPr="00000000">
        <w:rPr>
          <w:sz w:val="21"/>
          <w:szCs w:val="21"/>
          <w:highlight w:val="white"/>
          <w:rtl w:val="0"/>
        </w:rPr>
        <w:t xml:space="preserve">, per</w:t>
      </w:r>
      <w:r w:rsidDel="00000000" w:rsidR="00000000" w:rsidRPr="00000000">
        <w:rPr>
          <w:b w:val="1"/>
          <w:sz w:val="21"/>
          <w:szCs w:val="21"/>
          <w:highlight w:val="white"/>
          <w:rtl w:val="0"/>
        </w:rPr>
        <w:t xml:space="preserve"> </w:t>
      </w:r>
      <w:r w:rsidDel="00000000" w:rsidR="00000000" w:rsidRPr="00000000">
        <w:rPr>
          <w:sz w:val="21"/>
          <w:szCs w:val="21"/>
          <w:highlight w:val="white"/>
          <w:rtl w:val="0"/>
        </w:rPr>
        <w:t xml:space="preserve">la sua </w:t>
      </w:r>
      <w:r w:rsidDel="00000000" w:rsidR="00000000" w:rsidRPr="00000000">
        <w:rPr>
          <w:b w:val="1"/>
          <w:sz w:val="21"/>
          <w:szCs w:val="21"/>
          <w:highlight w:val="white"/>
          <w:rtl w:val="0"/>
        </w:rPr>
        <w:t xml:space="preserve">17ª edizione.</w:t>
      </w:r>
      <w:r w:rsidDel="00000000" w:rsidR="00000000" w:rsidRPr="00000000">
        <w:rPr>
          <w:rtl w:val="0"/>
        </w:rPr>
      </w:r>
    </w:p>
    <w:p w:rsidR="00000000" w:rsidDel="00000000" w:rsidP="00000000" w:rsidRDefault="00000000" w:rsidRPr="00000000" w14:paraId="00000004">
      <w:pPr>
        <w:spacing w:after="140" w:lineRule="auto"/>
        <w:jc w:val="both"/>
        <w:rPr>
          <w:sz w:val="21"/>
          <w:szCs w:val="21"/>
        </w:rPr>
      </w:pPr>
      <w:r w:rsidDel="00000000" w:rsidR="00000000" w:rsidRPr="00000000">
        <w:rPr>
          <w:sz w:val="21"/>
          <w:szCs w:val="21"/>
          <w:highlight w:val="white"/>
          <w:rtl w:val="0"/>
        </w:rPr>
        <w:t xml:space="preserve">Il salone</w:t>
      </w:r>
      <w:r w:rsidDel="00000000" w:rsidR="00000000" w:rsidRPr="00000000">
        <w:rPr>
          <w:b w:val="1"/>
          <w:sz w:val="21"/>
          <w:szCs w:val="21"/>
          <w:highlight w:val="white"/>
          <w:rtl w:val="0"/>
        </w:rPr>
        <w:t xml:space="preserve"> </w:t>
      </w:r>
      <w:r w:rsidDel="00000000" w:rsidR="00000000" w:rsidRPr="00000000">
        <w:rPr>
          <w:sz w:val="21"/>
          <w:szCs w:val="21"/>
          <w:highlight w:val="white"/>
          <w:rtl w:val="0"/>
        </w:rPr>
        <w:t xml:space="preserve">licensing business</w:t>
      </w:r>
      <w:r w:rsidDel="00000000" w:rsidR="00000000" w:rsidRPr="00000000">
        <w:rPr>
          <w:b w:val="1"/>
          <w:sz w:val="21"/>
          <w:szCs w:val="21"/>
          <w:highlight w:val="white"/>
          <w:rtl w:val="0"/>
        </w:rPr>
        <w:t xml:space="preserve"> </w:t>
      </w:r>
      <w:r w:rsidDel="00000000" w:rsidR="00000000" w:rsidRPr="00000000">
        <w:rPr>
          <w:sz w:val="21"/>
          <w:szCs w:val="21"/>
          <w:highlight w:val="white"/>
          <w:rtl w:val="0"/>
        </w:rPr>
        <w:t xml:space="preserve">è parte integrante di </w:t>
      </w:r>
      <w:r w:rsidDel="00000000" w:rsidR="00000000" w:rsidRPr="00000000">
        <w:rPr>
          <w:b w:val="1"/>
          <w:sz w:val="21"/>
          <w:szCs w:val="21"/>
          <w:highlight w:val="white"/>
          <w:rtl w:val="0"/>
        </w:rPr>
        <w:t xml:space="preserve">Bologna Children's Book Fair (BCBF)</w:t>
      </w:r>
      <w:r w:rsidDel="00000000" w:rsidR="00000000" w:rsidRPr="00000000">
        <w:rPr>
          <w:sz w:val="21"/>
          <w:szCs w:val="21"/>
          <w:highlight w:val="white"/>
          <w:rtl w:val="0"/>
        </w:rPr>
        <w:t xml:space="preserve">, fiera leader mondiale dell'editoria per ragazzi arrivata nel 2023 alla sua 60ª edizione con enorme successo (1.456 espositori da 90 Paesi e regioni del mondo </w:t>
      </w:r>
      <w:r w:rsidDel="00000000" w:rsidR="00000000" w:rsidRPr="00000000">
        <w:rPr>
          <w:sz w:val="21"/>
          <w:szCs w:val="21"/>
          <w:rtl w:val="0"/>
        </w:rPr>
        <w:t xml:space="preserve">e 28.894 visitatori professionali). </w:t>
      </w:r>
    </w:p>
    <w:p w:rsidR="00000000" w:rsidDel="00000000" w:rsidP="00000000" w:rsidRDefault="00000000" w:rsidRPr="00000000" w14:paraId="00000005">
      <w:pPr>
        <w:spacing w:after="140" w:lineRule="auto"/>
        <w:jc w:val="both"/>
        <w:rPr>
          <w:sz w:val="21"/>
          <w:szCs w:val="21"/>
        </w:rPr>
      </w:pPr>
      <w:r w:rsidDel="00000000" w:rsidR="00000000" w:rsidRPr="00000000">
        <w:rPr>
          <w:sz w:val="21"/>
          <w:szCs w:val="21"/>
          <w:rtl w:val="0"/>
        </w:rPr>
        <w:t xml:space="preserve">La nuova edizione della BLTF/K (</w:t>
      </w:r>
      <w:r w:rsidDel="00000000" w:rsidR="00000000" w:rsidRPr="00000000">
        <w:rPr>
          <w:b w:val="1"/>
          <w:sz w:val="21"/>
          <w:szCs w:val="21"/>
          <w:rtl w:val="0"/>
        </w:rPr>
        <w:t xml:space="preserve">Pad. 29 - Mall 2)</w:t>
      </w:r>
      <w:r w:rsidDel="00000000" w:rsidR="00000000" w:rsidRPr="00000000">
        <w:rPr>
          <w:sz w:val="21"/>
          <w:szCs w:val="21"/>
          <w:rtl w:val="0"/>
        </w:rPr>
        <w:t xml:space="preserve"> si presenta ricca di contenuti e servizi. Oltre all’</w:t>
      </w:r>
      <w:r w:rsidDel="00000000" w:rsidR="00000000" w:rsidRPr="00000000">
        <w:rPr>
          <w:b w:val="1"/>
          <w:sz w:val="21"/>
          <w:szCs w:val="21"/>
          <w:rtl w:val="0"/>
        </w:rPr>
        <w:t xml:space="preserve">area espositiva</w:t>
      </w:r>
      <w:r w:rsidDel="00000000" w:rsidR="00000000" w:rsidRPr="00000000">
        <w:rPr>
          <w:sz w:val="21"/>
          <w:szCs w:val="21"/>
          <w:rtl w:val="0"/>
        </w:rPr>
        <w:t xml:space="preserve">, all’</w:t>
      </w:r>
      <w:r w:rsidDel="00000000" w:rsidR="00000000" w:rsidRPr="00000000">
        <w:rPr>
          <w:b w:val="1"/>
          <w:sz w:val="21"/>
          <w:szCs w:val="21"/>
          <w:rtl w:val="0"/>
        </w:rPr>
        <w:t xml:space="preserve">events room</w:t>
      </w:r>
      <w:r w:rsidDel="00000000" w:rsidR="00000000" w:rsidRPr="00000000">
        <w:rPr>
          <w:sz w:val="21"/>
          <w:szCs w:val="21"/>
          <w:rtl w:val="0"/>
        </w:rPr>
        <w:t xml:space="preserve"> per la presentazione dei marchi e alla </w:t>
      </w:r>
      <w:r w:rsidDel="00000000" w:rsidR="00000000" w:rsidRPr="00000000">
        <w:rPr>
          <w:b w:val="1"/>
          <w:sz w:val="21"/>
          <w:szCs w:val="21"/>
          <w:rtl w:val="0"/>
        </w:rPr>
        <w:t xml:space="preserve">Licensing Business Lounge</w:t>
      </w:r>
      <w:r w:rsidDel="00000000" w:rsidR="00000000" w:rsidRPr="00000000">
        <w:rPr>
          <w:sz w:val="21"/>
          <w:szCs w:val="21"/>
          <w:rtl w:val="0"/>
        </w:rPr>
        <w:t xml:space="preserve">, anche la nuova area BCBF </w:t>
      </w:r>
      <w:r w:rsidDel="00000000" w:rsidR="00000000" w:rsidRPr="00000000">
        <w:rPr>
          <w:b w:val="1"/>
          <w:sz w:val="21"/>
          <w:szCs w:val="21"/>
          <w:rtl w:val="0"/>
        </w:rPr>
        <w:t xml:space="preserve">TV/Film Rights Centre</w:t>
      </w:r>
      <w:r w:rsidDel="00000000" w:rsidR="00000000" w:rsidRPr="00000000">
        <w:rPr>
          <w:sz w:val="21"/>
          <w:szCs w:val="21"/>
          <w:rtl w:val="0"/>
        </w:rPr>
        <w:t xml:space="preserve">, pensata per accogliere i produttori audiovisivi e facilitare il </w:t>
      </w:r>
      <w:r w:rsidDel="00000000" w:rsidR="00000000" w:rsidRPr="00000000">
        <w:rPr>
          <w:rFonts w:ascii="Calibri" w:cs="Calibri" w:eastAsia="Calibri" w:hAnsi="Calibri"/>
          <w:sz w:val="21"/>
          <w:szCs w:val="21"/>
          <w:rtl w:val="0"/>
        </w:rPr>
        <w:t xml:space="preserve">networking con il mondo dell'editoria per una maggiore proposta book-to-screen, realizzata con la collaborazione di Book on a Tree. Tra le aziende che parteciperanno alla prima edizione di questa nuova business area possiamo citare dei leader di settore </w:t>
      </w:r>
      <w:r w:rsidDel="00000000" w:rsidR="00000000" w:rsidRPr="00000000">
        <w:rPr>
          <w:rFonts w:ascii="Calibri" w:cs="Calibri" w:eastAsia="Calibri" w:hAnsi="Calibri"/>
          <w:b w:val="1"/>
          <w:sz w:val="21"/>
          <w:szCs w:val="21"/>
          <w:rtl w:val="0"/>
        </w:rPr>
        <w:t xml:space="preserve">come Mediatoon, Netflix e Movimenti Production.</w:t>
      </w:r>
      <w:r w:rsidDel="00000000" w:rsidR="00000000" w:rsidRPr="00000000">
        <w:rPr>
          <w:rFonts w:ascii="Calibri" w:cs="Calibri" w:eastAsia="Calibri" w:hAnsi="Calibri"/>
          <w:sz w:val="21"/>
          <w:szCs w:val="21"/>
          <w:rtl w:val="0"/>
        </w:rPr>
        <w:t xml:space="preserve"> Inoltre sono stati organizzati oltre 300 appuntamenti tra i produttori audiovisivi registrati e gli editori espositori della BCBF.</w:t>
      </w:r>
      <w:r w:rsidDel="00000000" w:rsidR="00000000" w:rsidRPr="00000000">
        <w:rPr>
          <w:sz w:val="21"/>
          <w:szCs w:val="21"/>
          <w:rtl w:val="0"/>
        </w:rPr>
        <w:t xml:space="preserve"> </w:t>
      </w:r>
    </w:p>
    <w:p w:rsidR="00000000" w:rsidDel="00000000" w:rsidP="00000000" w:rsidRDefault="00000000" w:rsidRPr="00000000" w14:paraId="00000006">
      <w:pPr>
        <w:spacing w:after="140" w:lineRule="auto"/>
        <w:jc w:val="both"/>
        <w:rPr>
          <w:sz w:val="21"/>
          <w:szCs w:val="21"/>
        </w:rPr>
      </w:pPr>
      <w:r w:rsidDel="00000000" w:rsidR="00000000" w:rsidRPr="00000000">
        <w:rPr>
          <w:sz w:val="21"/>
          <w:szCs w:val="21"/>
          <w:rtl w:val="0"/>
        </w:rPr>
        <w:t xml:space="preserve">E ancora mostre e iniziative a tema </w:t>
      </w:r>
      <w:r w:rsidDel="00000000" w:rsidR="00000000" w:rsidRPr="00000000">
        <w:rPr>
          <w:b w:val="1"/>
          <w:sz w:val="21"/>
          <w:szCs w:val="21"/>
          <w:rtl w:val="0"/>
        </w:rPr>
        <w:t xml:space="preserve">sostenibilità</w:t>
      </w:r>
      <w:r w:rsidDel="00000000" w:rsidR="00000000" w:rsidRPr="00000000">
        <w:rPr>
          <w:sz w:val="21"/>
          <w:szCs w:val="21"/>
          <w:rtl w:val="0"/>
        </w:rPr>
        <w:t xml:space="preserve">,</w:t>
      </w:r>
      <w:r w:rsidDel="00000000" w:rsidR="00000000" w:rsidRPr="00000000">
        <w:rPr>
          <w:b w:val="1"/>
          <w:sz w:val="21"/>
          <w:szCs w:val="21"/>
          <w:rtl w:val="0"/>
        </w:rPr>
        <w:t xml:space="preserve"> </w:t>
      </w:r>
      <w:r w:rsidDel="00000000" w:rsidR="00000000" w:rsidRPr="00000000">
        <w:rPr>
          <w:sz w:val="21"/>
          <w:szCs w:val="21"/>
          <w:rtl w:val="0"/>
        </w:rPr>
        <w:t xml:space="preserve">approfondimenti sui settori </w:t>
      </w:r>
      <w:r w:rsidDel="00000000" w:rsidR="00000000" w:rsidRPr="00000000">
        <w:rPr>
          <w:b w:val="1"/>
          <w:sz w:val="21"/>
          <w:szCs w:val="21"/>
          <w:rtl w:val="0"/>
        </w:rPr>
        <w:t xml:space="preserve">retail</w:t>
      </w:r>
      <w:r w:rsidDel="00000000" w:rsidR="00000000" w:rsidRPr="00000000">
        <w:rPr>
          <w:sz w:val="21"/>
          <w:szCs w:val="21"/>
          <w:rtl w:val="0"/>
        </w:rPr>
        <w:t xml:space="preserve"> e </w:t>
      </w:r>
      <w:r w:rsidDel="00000000" w:rsidR="00000000" w:rsidRPr="00000000">
        <w:rPr>
          <w:b w:val="1"/>
          <w:sz w:val="21"/>
          <w:szCs w:val="21"/>
          <w:rtl w:val="0"/>
        </w:rPr>
        <w:t xml:space="preserve">fashion</w:t>
      </w:r>
      <w:r w:rsidDel="00000000" w:rsidR="00000000" w:rsidRPr="00000000">
        <w:rPr>
          <w:sz w:val="21"/>
          <w:szCs w:val="21"/>
          <w:rtl w:val="0"/>
        </w:rPr>
        <w:t xml:space="preserve">, con opportunità di meeting tra gli operatori dei due ambiti e gli espositori. </w:t>
      </w:r>
    </w:p>
    <w:p w:rsidR="00000000" w:rsidDel="00000000" w:rsidP="00000000" w:rsidRDefault="00000000" w:rsidRPr="00000000" w14:paraId="00000007">
      <w:pPr>
        <w:spacing w:after="140" w:lineRule="auto"/>
        <w:jc w:val="both"/>
        <w:rPr>
          <w:sz w:val="21"/>
          <w:szCs w:val="21"/>
        </w:rPr>
      </w:pPr>
      <w:r w:rsidDel="00000000" w:rsidR="00000000" w:rsidRPr="00000000">
        <w:rPr>
          <w:sz w:val="21"/>
          <w:szCs w:val="21"/>
          <w:rtl w:val="0"/>
        </w:rPr>
        <w:t xml:space="preserve">BLTF/K organizza inoltre in collaborazione con la rivista </w:t>
      </w:r>
      <w:r w:rsidDel="00000000" w:rsidR="00000000" w:rsidRPr="00000000">
        <w:rPr>
          <w:b w:val="1"/>
          <w:sz w:val="21"/>
          <w:szCs w:val="21"/>
          <w:rtl w:val="0"/>
        </w:rPr>
        <w:t xml:space="preserve">Licensing Magazine</w:t>
      </w:r>
      <w:r w:rsidDel="00000000" w:rsidR="00000000" w:rsidRPr="00000000">
        <w:rPr>
          <w:sz w:val="21"/>
          <w:szCs w:val="21"/>
          <w:rtl w:val="0"/>
        </w:rPr>
        <w:t xml:space="preserve"> la </w:t>
      </w:r>
      <w:r w:rsidDel="00000000" w:rsidR="00000000" w:rsidRPr="00000000">
        <w:rPr>
          <w:b w:val="1"/>
          <w:sz w:val="21"/>
          <w:szCs w:val="21"/>
          <w:rtl w:val="0"/>
        </w:rPr>
        <w:t xml:space="preserve">4ª edizione</w:t>
      </w:r>
      <w:r w:rsidDel="00000000" w:rsidR="00000000" w:rsidRPr="00000000">
        <w:rPr>
          <w:sz w:val="21"/>
          <w:szCs w:val="21"/>
          <w:rtl w:val="0"/>
        </w:rPr>
        <w:t xml:space="preserve"> degli </w:t>
      </w:r>
      <w:r w:rsidDel="00000000" w:rsidR="00000000" w:rsidRPr="00000000">
        <w:rPr>
          <w:b w:val="1"/>
          <w:sz w:val="21"/>
          <w:szCs w:val="21"/>
          <w:rtl w:val="0"/>
        </w:rPr>
        <w:t xml:space="preserve">International Kids Licensing Days (IKLD)</w:t>
      </w:r>
      <w:r w:rsidDel="00000000" w:rsidR="00000000" w:rsidRPr="00000000">
        <w:rPr>
          <w:sz w:val="21"/>
          <w:szCs w:val="21"/>
          <w:rtl w:val="0"/>
        </w:rPr>
        <w:t xml:space="preserve">: le tre giornate di panel sugli ultimi trend licensing e publishing, dall’8 al 10 aprile, avranno importanti focus su </w:t>
      </w:r>
      <w:r w:rsidDel="00000000" w:rsidR="00000000" w:rsidRPr="00000000">
        <w:rPr>
          <w:b w:val="1"/>
          <w:sz w:val="21"/>
          <w:szCs w:val="21"/>
          <w:rtl w:val="0"/>
        </w:rPr>
        <w:t xml:space="preserve">gaming</w:t>
      </w:r>
      <w:r w:rsidDel="00000000" w:rsidR="00000000" w:rsidRPr="00000000">
        <w:rPr>
          <w:sz w:val="21"/>
          <w:szCs w:val="21"/>
          <w:rtl w:val="0"/>
        </w:rPr>
        <w:t xml:space="preserve">, </w:t>
      </w:r>
      <w:r w:rsidDel="00000000" w:rsidR="00000000" w:rsidRPr="00000000">
        <w:rPr>
          <w:b w:val="1"/>
          <w:sz w:val="21"/>
          <w:szCs w:val="21"/>
          <w:rtl w:val="0"/>
        </w:rPr>
        <w:t xml:space="preserve">Intelligenza Artificiale</w:t>
      </w:r>
      <w:r w:rsidDel="00000000" w:rsidR="00000000" w:rsidRPr="00000000">
        <w:rPr>
          <w:sz w:val="21"/>
          <w:szCs w:val="21"/>
          <w:rtl w:val="0"/>
        </w:rPr>
        <w:t xml:space="preserve"> e </w:t>
      </w:r>
      <w:r w:rsidDel="00000000" w:rsidR="00000000" w:rsidRPr="00000000">
        <w:rPr>
          <w:b w:val="1"/>
          <w:sz w:val="21"/>
          <w:szCs w:val="21"/>
          <w:rtl w:val="0"/>
        </w:rPr>
        <w:t xml:space="preserve">adattamenti dal libro all'audiovisivo</w:t>
      </w:r>
      <w:r w:rsidDel="00000000" w:rsidR="00000000" w:rsidRPr="00000000">
        <w:rPr>
          <w:sz w:val="21"/>
          <w:szCs w:val="21"/>
          <w:rtl w:val="0"/>
        </w:rPr>
        <w:t xml:space="preserve">. Alcune sessioni saranno dedicate ad </w:t>
      </w:r>
      <w:r w:rsidDel="00000000" w:rsidR="00000000" w:rsidRPr="00000000">
        <w:rPr>
          <w:b w:val="1"/>
          <w:sz w:val="21"/>
          <w:szCs w:val="21"/>
          <w:rtl w:val="0"/>
        </w:rPr>
        <w:t xml:space="preserve">anniversari imperdibili</w:t>
      </w:r>
      <w:r w:rsidDel="00000000" w:rsidR="00000000" w:rsidRPr="00000000">
        <w:rPr>
          <w:sz w:val="21"/>
          <w:szCs w:val="21"/>
          <w:rtl w:val="0"/>
        </w:rPr>
        <w:t xml:space="preserve"> come, su tutti, i 50 anni di Hello Kitty e i 35 anni di Elmer, l'elefante più colorato del mondo. </w:t>
        <w:br w:type="textWrapping"/>
        <w:t xml:space="preserve">Tra i tanti relatori: </w:t>
      </w:r>
      <w:r w:rsidDel="00000000" w:rsidR="00000000" w:rsidRPr="00000000">
        <w:rPr>
          <w:b w:val="1"/>
          <w:sz w:val="21"/>
          <w:szCs w:val="21"/>
          <w:rtl w:val="0"/>
        </w:rPr>
        <w:t xml:space="preserve">Yulia Amano</w:t>
      </w:r>
      <w:r w:rsidDel="00000000" w:rsidR="00000000" w:rsidRPr="00000000">
        <w:rPr>
          <w:sz w:val="21"/>
          <w:szCs w:val="21"/>
          <w:rtl w:val="0"/>
        </w:rPr>
        <w:t xml:space="preserve"> (Kodansha</w:t>
      </w:r>
      <w:r w:rsidDel="00000000" w:rsidR="00000000" w:rsidRPr="00000000">
        <w:rPr>
          <w:sz w:val="21"/>
          <w:szCs w:val="21"/>
          <w:highlight w:val="white"/>
          <w:rtl w:val="0"/>
        </w:rPr>
        <w:t xml:space="preserve">,</w:t>
      </w:r>
      <w:r w:rsidDel="00000000" w:rsidR="00000000" w:rsidRPr="00000000">
        <w:rPr>
          <w:b w:val="1"/>
          <w:sz w:val="21"/>
          <w:szCs w:val="21"/>
          <w:highlight w:val="white"/>
          <w:rtl w:val="0"/>
        </w:rPr>
        <w:t xml:space="preserve"> </w:t>
      </w:r>
      <w:r w:rsidDel="00000000" w:rsidR="00000000" w:rsidRPr="00000000">
        <w:rPr>
          <w:sz w:val="21"/>
          <w:szCs w:val="21"/>
          <w:highlight w:val="white"/>
          <w:rtl w:val="0"/>
        </w:rPr>
        <w:t xml:space="preserve">Giappone), </w:t>
      </w:r>
      <w:r w:rsidDel="00000000" w:rsidR="00000000" w:rsidRPr="00000000">
        <w:rPr>
          <w:b w:val="1"/>
          <w:sz w:val="21"/>
          <w:szCs w:val="21"/>
          <w:highlight w:val="white"/>
          <w:rtl w:val="0"/>
        </w:rPr>
        <w:t xml:space="preserve">Ludwig Kullander</w:t>
      </w:r>
      <w:r w:rsidDel="00000000" w:rsidR="00000000" w:rsidRPr="00000000">
        <w:rPr>
          <w:sz w:val="21"/>
          <w:szCs w:val="21"/>
          <w:highlight w:val="white"/>
          <w:rtl w:val="0"/>
        </w:rPr>
        <w:t xml:space="preserve"> (Astrid Lindgren Company, Svezia), </w:t>
      </w:r>
      <w:r w:rsidDel="00000000" w:rsidR="00000000" w:rsidRPr="00000000">
        <w:rPr>
          <w:b w:val="1"/>
          <w:color w:val="1f1f1f"/>
          <w:sz w:val="21"/>
          <w:szCs w:val="21"/>
          <w:highlight w:val="white"/>
          <w:rtl w:val="0"/>
        </w:rPr>
        <w:t xml:space="preserve">Tadeja Irmančnik</w:t>
      </w:r>
      <w:r w:rsidDel="00000000" w:rsidR="00000000" w:rsidRPr="00000000">
        <w:rPr>
          <w:color w:val="1f1f1f"/>
          <w:sz w:val="21"/>
          <w:szCs w:val="21"/>
          <w:highlight w:val="white"/>
          <w:rtl w:val="0"/>
        </w:rPr>
        <w:t xml:space="preserve"> (Outfit7, Slovenia), </w:t>
      </w:r>
      <w:r w:rsidDel="00000000" w:rsidR="00000000" w:rsidRPr="00000000">
        <w:rPr>
          <w:b w:val="1"/>
          <w:color w:val="1f1f1f"/>
          <w:sz w:val="21"/>
          <w:szCs w:val="21"/>
          <w:highlight w:val="white"/>
          <w:rtl w:val="0"/>
        </w:rPr>
        <w:t xml:space="preserve">Paul Black</w:t>
      </w:r>
      <w:r w:rsidDel="00000000" w:rsidR="00000000" w:rsidRPr="00000000">
        <w:rPr>
          <w:color w:val="1f1f1f"/>
          <w:sz w:val="21"/>
          <w:szCs w:val="21"/>
          <w:highlight w:val="white"/>
          <w:rtl w:val="0"/>
        </w:rPr>
        <w:t xml:space="preserve"> (Andersen Press, Regno Unito), </w:t>
      </w:r>
      <w:r w:rsidDel="00000000" w:rsidR="00000000" w:rsidRPr="00000000">
        <w:rPr>
          <w:b w:val="1"/>
          <w:color w:val="1f1f1f"/>
          <w:sz w:val="21"/>
          <w:szCs w:val="21"/>
          <w:highlight w:val="white"/>
          <w:rtl w:val="0"/>
        </w:rPr>
        <w:t xml:space="preserve">Silvia Figini </w:t>
      </w:r>
      <w:r w:rsidDel="00000000" w:rsidR="00000000" w:rsidRPr="00000000">
        <w:rPr>
          <w:color w:val="1f1f1f"/>
          <w:sz w:val="21"/>
          <w:szCs w:val="21"/>
          <w:highlight w:val="white"/>
          <w:rtl w:val="0"/>
        </w:rPr>
        <w:t xml:space="preserve">(Sanrio, Italia), </w:t>
      </w:r>
      <w:r w:rsidDel="00000000" w:rsidR="00000000" w:rsidRPr="00000000">
        <w:rPr>
          <w:b w:val="1"/>
          <w:color w:val="1f1f1f"/>
          <w:sz w:val="21"/>
          <w:szCs w:val="21"/>
          <w:highlight w:val="white"/>
          <w:rtl w:val="0"/>
        </w:rPr>
        <w:t xml:space="preserve">Daniele Tombini </w:t>
      </w:r>
      <w:r w:rsidDel="00000000" w:rsidR="00000000" w:rsidRPr="00000000">
        <w:rPr>
          <w:color w:val="1f1f1f"/>
          <w:sz w:val="21"/>
          <w:szCs w:val="21"/>
          <w:highlight w:val="white"/>
          <w:rtl w:val="0"/>
        </w:rPr>
        <w:t xml:space="preserve">(Smiley World, Regno Unito), </w:t>
      </w:r>
      <w:r w:rsidDel="00000000" w:rsidR="00000000" w:rsidRPr="00000000">
        <w:rPr>
          <w:b w:val="1"/>
          <w:color w:val="1f1f1f"/>
          <w:sz w:val="21"/>
          <w:szCs w:val="21"/>
          <w:highlight w:val="white"/>
          <w:rtl w:val="0"/>
        </w:rPr>
        <w:t xml:space="preserve">Francesca Perri</w:t>
      </w:r>
      <w:r w:rsidDel="00000000" w:rsidR="00000000" w:rsidRPr="00000000">
        <w:rPr>
          <w:color w:val="1f1f1f"/>
          <w:sz w:val="21"/>
          <w:szCs w:val="21"/>
          <w:highlight w:val="white"/>
          <w:rtl w:val="0"/>
        </w:rPr>
        <w:t xml:space="preserve"> (Tonucci &amp; Partners, Italia), </w:t>
      </w:r>
      <w:r w:rsidDel="00000000" w:rsidR="00000000" w:rsidRPr="00000000">
        <w:rPr>
          <w:b w:val="1"/>
          <w:color w:val="1f1f1f"/>
          <w:sz w:val="21"/>
          <w:szCs w:val="21"/>
          <w:highlight w:val="white"/>
          <w:rtl w:val="0"/>
        </w:rPr>
        <w:t xml:space="preserve">Gary Pope </w:t>
      </w:r>
      <w:r w:rsidDel="00000000" w:rsidR="00000000" w:rsidRPr="00000000">
        <w:rPr>
          <w:color w:val="1f1f1f"/>
          <w:sz w:val="21"/>
          <w:szCs w:val="21"/>
          <w:highlight w:val="white"/>
          <w:rtl w:val="0"/>
        </w:rPr>
        <w:t xml:space="preserve">(</w:t>
      </w:r>
      <w:r w:rsidDel="00000000" w:rsidR="00000000" w:rsidRPr="00000000">
        <w:rPr>
          <w:color w:val="222222"/>
          <w:sz w:val="21"/>
          <w:szCs w:val="21"/>
          <w:highlight w:val="white"/>
          <w:rtl w:val="0"/>
        </w:rPr>
        <w:t xml:space="preserve">Kids Industries, Regno Unito), </w:t>
      </w:r>
      <w:r w:rsidDel="00000000" w:rsidR="00000000" w:rsidRPr="00000000">
        <w:rPr>
          <w:b w:val="1"/>
          <w:sz w:val="21"/>
          <w:szCs w:val="21"/>
          <w:highlight w:val="white"/>
          <w:rtl w:val="0"/>
        </w:rPr>
        <w:t xml:space="preserve">Morghan Fortier</w:t>
      </w:r>
      <w:r w:rsidDel="00000000" w:rsidR="00000000" w:rsidRPr="00000000">
        <w:rPr>
          <w:sz w:val="21"/>
          <w:szCs w:val="21"/>
          <w:highlight w:val="white"/>
          <w:rtl w:val="0"/>
        </w:rPr>
        <w:t xml:space="preserve"> e </w:t>
      </w:r>
      <w:r w:rsidDel="00000000" w:rsidR="00000000" w:rsidRPr="00000000">
        <w:rPr>
          <w:b w:val="1"/>
          <w:sz w:val="21"/>
          <w:szCs w:val="21"/>
          <w:highlight w:val="white"/>
          <w:rtl w:val="0"/>
        </w:rPr>
        <w:t xml:space="preserve">Brett Jubinville</w:t>
      </w:r>
      <w:r w:rsidDel="00000000" w:rsidR="00000000" w:rsidRPr="00000000">
        <w:rPr>
          <w:sz w:val="21"/>
          <w:szCs w:val="21"/>
          <w:highlight w:val="white"/>
          <w:rtl w:val="0"/>
        </w:rPr>
        <w:t xml:space="preserve"> (Skyship Entertainment, Canada), </w:t>
      </w:r>
      <w:r w:rsidDel="00000000" w:rsidR="00000000" w:rsidRPr="00000000">
        <w:rPr>
          <w:b w:val="1"/>
          <w:sz w:val="21"/>
          <w:szCs w:val="21"/>
          <w:highlight w:val="white"/>
          <w:rtl w:val="0"/>
        </w:rPr>
        <w:t xml:space="preserve">Neal Hoskins </w:t>
      </w:r>
      <w:r w:rsidDel="00000000" w:rsidR="00000000" w:rsidRPr="00000000">
        <w:rPr>
          <w:sz w:val="21"/>
          <w:szCs w:val="21"/>
          <w:highlight w:val="white"/>
          <w:rtl w:val="0"/>
        </w:rPr>
        <w:t xml:space="preserve">(WingedChariot, Polonia), </w:t>
      </w:r>
      <w:r w:rsidDel="00000000" w:rsidR="00000000" w:rsidRPr="00000000">
        <w:rPr>
          <w:b w:val="1"/>
          <w:sz w:val="21"/>
          <w:szCs w:val="21"/>
          <w:highlight w:val="white"/>
          <w:rtl w:val="0"/>
        </w:rPr>
        <w:t xml:space="preserve">Gianluca </w:t>
      </w:r>
      <w:r w:rsidDel="00000000" w:rsidR="00000000" w:rsidRPr="00000000">
        <w:rPr>
          <w:b w:val="1"/>
          <w:sz w:val="21"/>
          <w:szCs w:val="21"/>
          <w:rtl w:val="0"/>
        </w:rPr>
        <w:t xml:space="preserve">Marani</w:t>
      </w:r>
      <w:r w:rsidDel="00000000" w:rsidR="00000000" w:rsidRPr="00000000">
        <w:rPr>
          <w:sz w:val="21"/>
          <w:szCs w:val="21"/>
          <w:rtl w:val="0"/>
        </w:rPr>
        <w:t xml:space="preserve"> (Funny Tales, Italia). </w:t>
      </w:r>
    </w:p>
    <w:p w:rsidR="00000000" w:rsidDel="00000000" w:rsidP="00000000" w:rsidRDefault="00000000" w:rsidRPr="00000000" w14:paraId="00000008">
      <w:pPr>
        <w:spacing w:after="140" w:lineRule="auto"/>
        <w:jc w:val="both"/>
        <w:rPr>
          <w:sz w:val="21"/>
          <w:szCs w:val="21"/>
        </w:rPr>
      </w:pPr>
      <w:r w:rsidDel="00000000" w:rsidR="00000000" w:rsidRPr="00000000">
        <w:rPr>
          <w:sz w:val="21"/>
          <w:szCs w:val="21"/>
          <w:rtl w:val="0"/>
        </w:rPr>
        <w:t xml:space="preserve">Un’altra grande novità di questa edizione saranno le Licensing Portfolio Reviews, oltre </w:t>
      </w:r>
      <w:r w:rsidDel="00000000" w:rsidR="00000000" w:rsidRPr="00000000">
        <w:rPr>
          <w:b w:val="1"/>
          <w:sz w:val="21"/>
          <w:szCs w:val="21"/>
          <w:rtl w:val="0"/>
        </w:rPr>
        <w:t xml:space="preserve">190 incontri in tre giorni</w:t>
      </w:r>
      <w:r w:rsidDel="00000000" w:rsidR="00000000" w:rsidRPr="00000000">
        <w:rPr>
          <w:sz w:val="21"/>
          <w:szCs w:val="21"/>
          <w:rtl w:val="0"/>
        </w:rPr>
        <w:t xml:space="preserve">, in modalità speed dating, fra </w:t>
      </w:r>
      <w:r w:rsidDel="00000000" w:rsidR="00000000" w:rsidRPr="00000000">
        <w:rPr>
          <w:b w:val="1"/>
          <w:sz w:val="21"/>
          <w:szCs w:val="21"/>
          <w:rtl w:val="0"/>
        </w:rPr>
        <w:t xml:space="preserve">16 aziende</w:t>
      </w:r>
      <w:r w:rsidDel="00000000" w:rsidR="00000000" w:rsidRPr="00000000">
        <w:rPr>
          <w:sz w:val="21"/>
          <w:szCs w:val="21"/>
          <w:rtl w:val="0"/>
        </w:rPr>
        <w:t xml:space="preserve"> leader internazionali nei settori audiovisivo, gaming, toy, moda e stationery come Devolver Digital, Funny Tales, Animoka, Gaumont, Pigna, Awakening Games, IllustraBimbi, Red Glove, Movimenti Production, Franco Cosimo Panini Editore, Headu, Seven Spa, Enanimation, J. Brand International, MS Edizioni, Kreaktiva Lab e giovani talenti dell'illustrazione provenienti da tutto il mondo. Gli incontri si terranno al Pad. 30, all’ Illustrators Survival Corner. </w:t>
      </w:r>
    </w:p>
    <w:p w:rsidR="00000000" w:rsidDel="00000000" w:rsidP="00000000" w:rsidRDefault="00000000" w:rsidRPr="00000000" w14:paraId="00000009">
      <w:pPr>
        <w:spacing w:after="140" w:lineRule="auto"/>
        <w:jc w:val="both"/>
        <w:rPr>
          <w:sz w:val="21"/>
          <w:szCs w:val="21"/>
        </w:rPr>
      </w:pPr>
      <w:r w:rsidDel="00000000" w:rsidR="00000000" w:rsidRPr="00000000">
        <w:rPr>
          <w:sz w:val="21"/>
          <w:szCs w:val="21"/>
          <w:rtl w:val="0"/>
        </w:rPr>
        <w:t xml:space="preserve">A BLTF/K 2024 sono attesi oltre </w:t>
      </w:r>
      <w:r w:rsidDel="00000000" w:rsidR="00000000" w:rsidRPr="00000000">
        <w:rPr>
          <w:b w:val="1"/>
          <w:sz w:val="21"/>
          <w:szCs w:val="21"/>
          <w:rtl w:val="0"/>
        </w:rPr>
        <w:t xml:space="preserve">1000 marchi</w:t>
      </w:r>
      <w:r w:rsidDel="00000000" w:rsidR="00000000" w:rsidRPr="00000000">
        <w:rPr>
          <w:sz w:val="21"/>
          <w:szCs w:val="21"/>
          <w:rtl w:val="0"/>
        </w:rPr>
        <w:t xml:space="preserve"> e </w:t>
      </w:r>
      <w:r w:rsidDel="00000000" w:rsidR="00000000" w:rsidRPr="00000000">
        <w:rPr>
          <w:b w:val="1"/>
          <w:sz w:val="21"/>
          <w:szCs w:val="21"/>
          <w:rtl w:val="0"/>
        </w:rPr>
        <w:t xml:space="preserve">numerosi espositori</w:t>
      </w:r>
      <w:r w:rsidDel="00000000" w:rsidR="00000000" w:rsidRPr="00000000">
        <w:rPr>
          <w:sz w:val="21"/>
          <w:szCs w:val="21"/>
          <w:rtl w:val="0"/>
        </w:rPr>
        <w:t xml:space="preserve">, tra i quali: </w:t>
      </w:r>
      <w:r w:rsidDel="00000000" w:rsidR="00000000" w:rsidRPr="00000000">
        <w:rPr>
          <w:b w:val="1"/>
          <w:sz w:val="21"/>
          <w:szCs w:val="21"/>
          <w:rtl w:val="0"/>
        </w:rPr>
        <w:t xml:space="preserve">The Pokémon Company International, DeAPlaneta Entertainment, Universal Products &amp; Experiences, Sanrio, Pea, Mattel, Boing, Rai Com, Maurizio Distefano Licensing, Mondo TV,</w:t>
      </w:r>
      <w:r w:rsidDel="00000000" w:rsidR="00000000" w:rsidRPr="00000000">
        <w:rPr>
          <w:sz w:val="21"/>
          <w:szCs w:val="21"/>
          <w:rtl w:val="0"/>
        </w:rPr>
        <w:t xml:space="preserve"> </w:t>
      </w:r>
      <w:r w:rsidDel="00000000" w:rsidR="00000000" w:rsidRPr="00000000">
        <w:rPr>
          <w:b w:val="1"/>
          <w:sz w:val="21"/>
          <w:szCs w:val="21"/>
          <w:rtl w:val="0"/>
        </w:rPr>
        <w:t xml:space="preserve">TF1 Licensing, Cool Things, Sbabam, Starbright, Grani &amp; Partners, Dynit, Leoni, Kreaktiva Lab</w:t>
      </w:r>
      <w:r w:rsidDel="00000000" w:rsidR="00000000" w:rsidRPr="00000000">
        <w:rPr>
          <w:sz w:val="21"/>
          <w:szCs w:val="21"/>
          <w:rtl w:val="0"/>
        </w:rPr>
        <w:t xml:space="preserve"> e molti altri.</w:t>
      </w:r>
    </w:p>
    <w:p w:rsidR="00000000" w:rsidDel="00000000" w:rsidP="00000000" w:rsidRDefault="00000000" w:rsidRPr="00000000" w14:paraId="0000000A">
      <w:pPr>
        <w:spacing w:after="140" w:lineRule="auto"/>
        <w:jc w:val="both"/>
        <w:rPr>
          <w:sz w:val="21"/>
          <w:szCs w:val="21"/>
        </w:rPr>
      </w:pPr>
      <w:r w:rsidDel="00000000" w:rsidR="00000000" w:rsidRPr="00000000">
        <w:rPr>
          <w:sz w:val="21"/>
          <w:szCs w:val="21"/>
          <w:rtl w:val="0"/>
        </w:rPr>
        <w:t xml:space="preserve">Durante la fiera si svolge la premiazione della </w:t>
      </w:r>
      <w:r w:rsidDel="00000000" w:rsidR="00000000" w:rsidRPr="00000000">
        <w:rPr>
          <w:b w:val="1"/>
          <w:sz w:val="21"/>
          <w:szCs w:val="21"/>
          <w:rtl w:val="0"/>
        </w:rPr>
        <w:t xml:space="preserve">7ª edizione</w:t>
      </w:r>
      <w:r w:rsidDel="00000000" w:rsidR="00000000" w:rsidRPr="00000000">
        <w:rPr>
          <w:sz w:val="21"/>
          <w:szCs w:val="21"/>
          <w:rtl w:val="0"/>
        </w:rPr>
        <w:t xml:space="preserve"> dei </w:t>
      </w:r>
      <w:r w:rsidDel="00000000" w:rsidR="00000000" w:rsidRPr="00000000">
        <w:rPr>
          <w:b w:val="1"/>
          <w:sz w:val="21"/>
          <w:szCs w:val="21"/>
          <w:rtl w:val="0"/>
        </w:rPr>
        <w:t xml:space="preserve">Bologna Licensing Awards</w:t>
      </w:r>
      <w:r w:rsidDel="00000000" w:rsidR="00000000" w:rsidRPr="00000000">
        <w:rPr>
          <w:sz w:val="21"/>
          <w:szCs w:val="21"/>
          <w:rtl w:val="0"/>
        </w:rPr>
        <w:t xml:space="preserve">, l’unico premio del settore in Italia per licenzianti/agenzie, licenziatari e retailer a livello internazionale, relativo allo sviluppo di properties e brand nel corso del 2023. </w:t>
      </w:r>
      <w:r w:rsidDel="00000000" w:rsidR="00000000" w:rsidRPr="00000000">
        <w:rPr>
          <w:b w:val="1"/>
          <w:sz w:val="21"/>
          <w:szCs w:val="21"/>
          <w:rtl w:val="0"/>
        </w:rPr>
        <w:t xml:space="preserve">182</w:t>
      </w:r>
      <w:r w:rsidDel="00000000" w:rsidR="00000000" w:rsidRPr="00000000">
        <w:rPr>
          <w:sz w:val="21"/>
          <w:szCs w:val="21"/>
          <w:rtl w:val="0"/>
        </w:rPr>
        <w:t xml:space="preserve"> le candidature ai premi, provenienti </w:t>
      </w:r>
      <w:r w:rsidDel="00000000" w:rsidR="00000000" w:rsidRPr="00000000">
        <w:rPr>
          <w:b w:val="1"/>
          <w:sz w:val="21"/>
          <w:szCs w:val="21"/>
          <w:rtl w:val="0"/>
        </w:rPr>
        <w:t xml:space="preserve">da diversi Paesi europei</w:t>
      </w:r>
      <w:r w:rsidDel="00000000" w:rsidR="00000000" w:rsidRPr="00000000">
        <w:rPr>
          <w:sz w:val="21"/>
          <w:szCs w:val="21"/>
          <w:rtl w:val="0"/>
        </w:rPr>
        <w:t xml:space="preserve"> (Italia, Francia, Spagna, Germania, Ucraina, Repubblica Ceca, Lituania, Scandinavia) e da altre zone del mondo come </w:t>
      </w:r>
      <w:r w:rsidDel="00000000" w:rsidR="00000000" w:rsidRPr="00000000">
        <w:rPr>
          <w:b w:val="1"/>
          <w:sz w:val="21"/>
          <w:szCs w:val="21"/>
          <w:rtl w:val="0"/>
        </w:rPr>
        <w:t xml:space="preserve">Regno Unito, USA, Colombia, Cina</w:t>
      </w:r>
      <w:r w:rsidDel="00000000" w:rsidR="00000000" w:rsidRPr="00000000">
        <w:rPr>
          <w:sz w:val="21"/>
          <w:szCs w:val="21"/>
          <w:rtl w:val="0"/>
        </w:rPr>
        <w:t xml:space="preserve">. A selezionare i vincitori, cui è riservata una vetrina nel cuore della manifestazione: </w:t>
      </w:r>
      <w:r w:rsidDel="00000000" w:rsidR="00000000" w:rsidRPr="00000000">
        <w:rPr>
          <w:b w:val="1"/>
          <w:sz w:val="21"/>
          <w:szCs w:val="21"/>
          <w:rtl w:val="0"/>
        </w:rPr>
        <w:t xml:space="preserve">Philippe Guinaudeau</w:t>
      </w:r>
      <w:r w:rsidDel="00000000" w:rsidR="00000000" w:rsidRPr="00000000">
        <w:rPr>
          <w:sz w:val="21"/>
          <w:szCs w:val="21"/>
          <w:rtl w:val="0"/>
        </w:rPr>
        <w:t xml:space="preserve"> (fondatore di The BrandTrends Group, Francia); </w:t>
      </w:r>
      <w:r w:rsidDel="00000000" w:rsidR="00000000" w:rsidRPr="00000000">
        <w:rPr>
          <w:b w:val="1"/>
          <w:sz w:val="21"/>
          <w:szCs w:val="21"/>
          <w:rtl w:val="0"/>
        </w:rPr>
        <w:t xml:space="preserve">Ian Hyder</w:t>
      </w:r>
      <w:r w:rsidDel="00000000" w:rsidR="00000000" w:rsidRPr="00000000">
        <w:rPr>
          <w:sz w:val="21"/>
          <w:szCs w:val="21"/>
          <w:rtl w:val="0"/>
        </w:rPr>
        <w:t xml:space="preserve"> (CEO Max Publishing, Regno Unito); </w:t>
      </w:r>
      <w:r w:rsidDel="00000000" w:rsidR="00000000" w:rsidRPr="00000000">
        <w:rPr>
          <w:b w:val="1"/>
          <w:sz w:val="21"/>
          <w:szCs w:val="21"/>
          <w:rtl w:val="0"/>
        </w:rPr>
        <w:t xml:space="preserve">Helena Mansell-Stopher</w:t>
      </w:r>
      <w:r w:rsidDel="00000000" w:rsidR="00000000" w:rsidRPr="00000000">
        <w:rPr>
          <w:sz w:val="21"/>
          <w:szCs w:val="21"/>
          <w:rtl w:val="0"/>
        </w:rPr>
        <w:t xml:space="preserve"> (fondatrice di Products of Change, Regno Unito); </w:t>
      </w:r>
      <w:r w:rsidDel="00000000" w:rsidR="00000000" w:rsidRPr="00000000">
        <w:rPr>
          <w:b w:val="1"/>
          <w:sz w:val="21"/>
          <w:szCs w:val="21"/>
          <w:rtl w:val="0"/>
        </w:rPr>
        <w:t xml:space="preserve">Cristiana Paesani</w:t>
      </w:r>
      <w:r w:rsidDel="00000000" w:rsidR="00000000" w:rsidRPr="00000000">
        <w:rPr>
          <w:sz w:val="21"/>
          <w:szCs w:val="21"/>
          <w:rtl w:val="0"/>
        </w:rPr>
        <w:t xml:space="preserve"> (esperta di arte e moda, Italia); </w:t>
      </w:r>
      <w:r w:rsidDel="00000000" w:rsidR="00000000" w:rsidRPr="00000000">
        <w:rPr>
          <w:b w:val="1"/>
          <w:sz w:val="21"/>
          <w:szCs w:val="21"/>
          <w:rtl w:val="0"/>
        </w:rPr>
        <w:t xml:space="preserve">Astrid Specht</w:t>
      </w:r>
      <w:r w:rsidDel="00000000" w:rsidR="00000000" w:rsidRPr="00000000">
        <w:rPr>
          <w:sz w:val="21"/>
          <w:szCs w:val="21"/>
          <w:rtl w:val="0"/>
        </w:rPr>
        <w:t xml:space="preserve"> (editor di TOYS e 1st Steps, Germania). Le categorie: Best Preschool Licensing Project, Best Kids Licensing Project, Best Teen Licensing Project, Best Young Adult Licensing Project, Best Retail Project, Best Fashion Project, Best Licensed Publishing Project, Best Licensed Toy Project, Best Promotion/Loyalty campaign, Promotion: Best Licensed Kiosk Product, Best Licensed Sustainable Project, Best Property of the Year.</w:t>
      </w:r>
    </w:p>
    <w:p w:rsidR="00000000" w:rsidDel="00000000" w:rsidP="00000000" w:rsidRDefault="00000000" w:rsidRPr="00000000" w14:paraId="0000000B">
      <w:pPr>
        <w:spacing w:after="140" w:lineRule="auto"/>
        <w:jc w:val="both"/>
        <w:rPr>
          <w:sz w:val="21"/>
          <w:szCs w:val="21"/>
        </w:rPr>
      </w:pPr>
      <w:r w:rsidDel="00000000" w:rsidR="00000000" w:rsidRPr="00000000">
        <w:rPr>
          <w:sz w:val="21"/>
          <w:szCs w:val="21"/>
          <w:rtl w:val="0"/>
        </w:rPr>
        <w:t xml:space="preserve">A questo link la short list dei Bologna Licensing Awards:</w:t>
        <w:br w:type="textWrapping"/>
        <w:t xml:space="preserve"> </w:t>
      </w:r>
      <w:hyperlink r:id="rId8">
        <w:r w:rsidDel="00000000" w:rsidR="00000000" w:rsidRPr="00000000">
          <w:rPr>
            <w:color w:val="1155cc"/>
            <w:sz w:val="21"/>
            <w:szCs w:val="21"/>
            <w:u w:val="single"/>
            <w:rtl w:val="0"/>
          </w:rPr>
          <w:t xml:space="preserve">https://www.bolognachildrensbookfair.com/premi/bologna-licensing-awards/shortlist-2024/12696.html</w:t>
        </w:r>
      </w:hyperlink>
      <w:r w:rsidDel="00000000" w:rsidR="00000000" w:rsidRPr="00000000">
        <w:rPr>
          <w:rtl w:val="0"/>
        </w:rPr>
      </w:r>
    </w:p>
    <w:p w:rsidR="00000000" w:rsidDel="00000000" w:rsidP="00000000" w:rsidRDefault="00000000" w:rsidRPr="00000000" w14:paraId="0000000C">
      <w:pPr>
        <w:spacing w:after="140" w:lineRule="auto"/>
        <w:jc w:val="left"/>
        <w:rPr>
          <w:b w:val="1"/>
          <w:sz w:val="20"/>
          <w:szCs w:val="20"/>
          <w:highlight w:val="white"/>
        </w:rPr>
      </w:pPr>
      <w:r w:rsidDel="00000000" w:rsidR="00000000" w:rsidRPr="00000000">
        <w:rPr>
          <w:rtl w:val="0"/>
        </w:rPr>
      </w:r>
    </w:p>
    <w:p w:rsidR="00000000" w:rsidDel="00000000" w:rsidP="00000000" w:rsidRDefault="00000000" w:rsidRPr="00000000" w14:paraId="0000000D">
      <w:pPr>
        <w:spacing w:after="140" w:lineRule="auto"/>
        <w:jc w:val="right"/>
        <w:rPr>
          <w:sz w:val="16"/>
          <w:szCs w:val="16"/>
          <w:highlight w:val="white"/>
        </w:rPr>
      </w:pPr>
      <w:r w:rsidDel="00000000" w:rsidR="00000000" w:rsidRPr="00000000">
        <w:rPr>
          <w:b w:val="1"/>
          <w:sz w:val="16"/>
          <w:szCs w:val="16"/>
          <w:highlight w:val="white"/>
          <w:rtl w:val="0"/>
        </w:rPr>
        <w:t xml:space="preserve">Per maggiori informazioni </w:t>
      </w:r>
      <w:r w:rsidDel="00000000" w:rsidR="00000000" w:rsidRPr="00000000">
        <w:rPr>
          <w:rtl w:val="0"/>
        </w:rPr>
      </w:r>
    </w:p>
    <w:p w:rsidR="00000000" w:rsidDel="00000000" w:rsidP="00000000" w:rsidRDefault="00000000" w:rsidRPr="00000000" w14:paraId="0000000E">
      <w:pPr>
        <w:jc w:val="right"/>
        <w:rPr>
          <w:sz w:val="16"/>
          <w:szCs w:val="16"/>
        </w:rPr>
      </w:pPr>
      <w:hyperlink r:id="rId9">
        <w:r w:rsidDel="00000000" w:rsidR="00000000" w:rsidRPr="00000000">
          <w:rPr>
            <w:sz w:val="16"/>
            <w:szCs w:val="16"/>
            <w:highlight w:val="white"/>
            <w:u w:val="single"/>
            <w:rtl w:val="0"/>
          </w:rPr>
          <w:t xml:space="preserve">licensing@bolognafiere.it</w:t>
        </w:r>
      </w:hyperlink>
      <w:r w:rsidDel="00000000" w:rsidR="00000000" w:rsidRPr="00000000">
        <w:rPr>
          <w:sz w:val="16"/>
          <w:szCs w:val="16"/>
          <w:highlight w:val="white"/>
          <w:rtl w:val="0"/>
        </w:rPr>
        <w:t xml:space="preserve"> </w:t>
      </w:r>
      <w:r w:rsidDel="00000000" w:rsidR="00000000" w:rsidRPr="00000000">
        <w:rPr>
          <w:rtl w:val="0"/>
        </w:rPr>
      </w:r>
    </w:p>
    <w:p w:rsidR="00000000" w:rsidDel="00000000" w:rsidP="00000000" w:rsidRDefault="00000000" w:rsidRPr="00000000" w14:paraId="0000000F">
      <w:pPr>
        <w:jc w:val="right"/>
        <w:rPr>
          <w:sz w:val="16"/>
          <w:szCs w:val="16"/>
        </w:rPr>
      </w:pPr>
      <w:hyperlink r:id="rId10">
        <w:r w:rsidDel="00000000" w:rsidR="00000000" w:rsidRPr="00000000">
          <w:rPr>
            <w:sz w:val="16"/>
            <w:szCs w:val="16"/>
            <w:highlight w:val="white"/>
            <w:u w:val="single"/>
            <w:rtl w:val="0"/>
          </w:rPr>
          <w:t xml:space="preserve">https://www.bolognachildrensbookfair.com/</w:t>
        </w:r>
      </w:hyperlink>
      <w:r w:rsidDel="00000000" w:rsidR="00000000" w:rsidRPr="00000000">
        <w:rPr>
          <w:sz w:val="16"/>
          <w:szCs w:val="16"/>
          <w:highlight w:val="white"/>
          <w:rtl w:val="0"/>
        </w:rPr>
        <w:t xml:space="preserve"> SEZIONE - BOLOGNA LICENSING TRADE FAIR</w:t>
      </w:r>
      <w:r w:rsidDel="00000000" w:rsidR="00000000" w:rsidRPr="00000000">
        <w:rPr>
          <w:rtl w:val="0"/>
        </w:rPr>
      </w:r>
    </w:p>
    <w:p w:rsidR="00000000" w:rsidDel="00000000" w:rsidP="00000000" w:rsidRDefault="00000000" w:rsidRPr="00000000" w14:paraId="00000010">
      <w:pPr>
        <w:jc w:val="right"/>
        <w:rPr>
          <w:sz w:val="16"/>
          <w:szCs w:val="16"/>
        </w:rPr>
      </w:pPr>
      <w:hyperlink r:id="rId11">
        <w:r w:rsidDel="00000000" w:rsidR="00000000" w:rsidRPr="00000000">
          <w:rPr>
            <w:sz w:val="16"/>
            <w:szCs w:val="16"/>
            <w:highlight w:val="white"/>
            <w:u w:val="single"/>
            <w:rtl w:val="0"/>
          </w:rPr>
          <w:t xml:space="preserve">https://www.linkedin.com/company/bolognalicensingtradefair/</w:t>
        </w:r>
      </w:hyperlink>
      <w:r w:rsidDel="00000000" w:rsidR="00000000" w:rsidRPr="00000000">
        <w:rPr>
          <w:rtl w:val="0"/>
        </w:rPr>
      </w:r>
    </w:p>
    <w:p w:rsidR="00000000" w:rsidDel="00000000" w:rsidP="00000000" w:rsidRDefault="00000000" w:rsidRPr="00000000" w14:paraId="00000011">
      <w:pPr>
        <w:jc w:val="right"/>
        <w:rPr>
          <w:sz w:val="16"/>
          <w:szCs w:val="16"/>
          <w:highlight w:val="white"/>
        </w:rPr>
      </w:pPr>
      <w:r w:rsidDel="00000000" w:rsidR="00000000" w:rsidRPr="00000000">
        <w:rPr>
          <w:rtl w:val="0"/>
        </w:rPr>
      </w:r>
    </w:p>
    <w:p w:rsidR="00000000" w:rsidDel="00000000" w:rsidP="00000000" w:rsidRDefault="00000000" w:rsidRPr="00000000" w14:paraId="00000012">
      <w:pPr>
        <w:jc w:val="right"/>
        <w:rPr>
          <w:sz w:val="16"/>
          <w:szCs w:val="16"/>
          <w:highlight w:val="white"/>
        </w:rPr>
      </w:pPr>
      <w:r w:rsidDel="00000000" w:rsidR="00000000" w:rsidRPr="00000000">
        <w:rPr>
          <w:b w:val="1"/>
          <w:sz w:val="16"/>
          <w:szCs w:val="16"/>
          <w:highlight w:val="white"/>
          <w:rtl w:val="0"/>
        </w:rPr>
        <w:t xml:space="preserve">Contatti Stampa</w:t>
      </w:r>
      <w:r w:rsidDel="00000000" w:rsidR="00000000" w:rsidRPr="00000000">
        <w:rPr>
          <w:rtl w:val="0"/>
        </w:rPr>
      </w:r>
    </w:p>
    <w:p w:rsidR="00000000" w:rsidDel="00000000" w:rsidP="00000000" w:rsidRDefault="00000000" w:rsidRPr="00000000" w14:paraId="00000013">
      <w:pPr>
        <w:jc w:val="right"/>
        <w:rPr>
          <w:sz w:val="16"/>
          <w:szCs w:val="16"/>
          <w:highlight w:val="white"/>
        </w:rPr>
      </w:pPr>
      <w:r w:rsidDel="00000000" w:rsidR="00000000" w:rsidRPr="00000000">
        <w:rPr>
          <w:sz w:val="16"/>
          <w:szCs w:val="16"/>
          <w:highlight w:val="white"/>
          <w:rtl w:val="0"/>
        </w:rPr>
        <w:t xml:space="preserve">Rossella Arena</w:t>
      </w:r>
    </w:p>
    <w:p w:rsidR="00000000" w:rsidDel="00000000" w:rsidP="00000000" w:rsidRDefault="00000000" w:rsidRPr="00000000" w14:paraId="00000014">
      <w:pPr>
        <w:jc w:val="right"/>
        <w:rPr>
          <w:sz w:val="16"/>
          <w:szCs w:val="16"/>
        </w:rPr>
      </w:pPr>
      <w:hyperlink r:id="rId12">
        <w:r w:rsidDel="00000000" w:rsidR="00000000" w:rsidRPr="00000000">
          <w:rPr>
            <w:sz w:val="16"/>
            <w:szCs w:val="16"/>
            <w:highlight w:val="white"/>
            <w:u w:val="single"/>
            <w:rtl w:val="0"/>
          </w:rPr>
          <w:t xml:space="preserve">Rossella.arena@brands-media.com</w:t>
        </w:r>
      </w:hyperlink>
      <w:r w:rsidDel="00000000" w:rsidR="00000000" w:rsidRPr="00000000">
        <w:rPr>
          <w:rtl w:val="0"/>
        </w:rPr>
      </w:r>
    </w:p>
    <w:p w:rsidR="00000000" w:rsidDel="00000000" w:rsidP="00000000" w:rsidRDefault="00000000" w:rsidRPr="00000000" w14:paraId="00000015">
      <w:pPr>
        <w:jc w:val="right"/>
        <w:rPr>
          <w:sz w:val="16"/>
          <w:szCs w:val="16"/>
        </w:rPr>
      </w:pPr>
      <w:r w:rsidDel="00000000" w:rsidR="00000000" w:rsidRPr="00000000">
        <w:rPr>
          <w:sz w:val="16"/>
          <w:szCs w:val="16"/>
          <w:highlight w:val="white"/>
          <w:rtl w:val="0"/>
        </w:rPr>
        <w:t xml:space="preserve">Cell. +39 388 626 1356</w:t>
      </w:r>
      <w:r w:rsidDel="00000000" w:rsidR="00000000" w:rsidRPr="00000000">
        <w:rPr>
          <w:rtl w:val="0"/>
        </w:rPr>
      </w:r>
    </w:p>
    <w:sectPr>
      <w:headerReference r:id="rId13" w:type="default"/>
      <w:footerReference r:id="rId14" w:type="default"/>
      <w:pgSz w:h="16838" w:w="11906" w:orient="portrait"/>
      <w:pgMar w:bottom="851" w:top="460" w:left="567" w:right="567" w:header="403" w:footer="40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leader="none" w:pos="4819"/>
        <w:tab w:val="right" w:leader="none" w:pos="9638"/>
      </w:tabs>
      <w:rPr>
        <w:color w:val="000000"/>
      </w:rPr>
    </w:pPr>
    <w:r w:rsidDel="00000000" w:rsidR="00000000" w:rsidRPr="00000000">
      <w:rPr/>
      <w:drawing>
        <wp:inline distB="0" distT="0" distL="0" distR="0">
          <wp:extent cx="6832600" cy="1320800"/>
          <wp:effectExtent b="0" l="0" r="0" t="0"/>
          <wp:docPr descr="Immagine che contiene testo, schermata&#10;&#10;Descrizione generata automaticamente" id="8" name="image3.png"/>
          <a:graphic>
            <a:graphicData uri="http://schemas.openxmlformats.org/drawingml/2006/picture">
              <pic:pic>
                <pic:nvPicPr>
                  <pic:cNvPr descr="Immagine che contiene testo, schermata&#10;&#10;Descrizione generata automaticamente" id="0" name="image3.png"/>
                  <pic:cNvPicPr preferRelativeResize="0"/>
                </pic:nvPicPr>
                <pic:blipFill>
                  <a:blip r:embed="rId1"/>
                  <a:srcRect b="0" l="0" r="0" t="0"/>
                  <a:stretch>
                    <a:fillRect/>
                  </a:stretch>
                </pic:blipFill>
                <pic:spPr>
                  <a:xfrm>
                    <a:off x="0" y="0"/>
                    <a:ext cx="6832600" cy="1320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tabs>
        <w:tab w:val="center" w:leader="none" w:pos="4819"/>
        <w:tab w:val="right" w:leader="none" w:pos="9638"/>
      </w:tabs>
      <w:rPr>
        <w:color w:val="000000"/>
      </w:rPr>
    </w:pPr>
    <w:r w:rsidDel="00000000" w:rsidR="00000000" w:rsidRPr="00000000">
      <w:rPr/>
      <w:drawing>
        <wp:inline distB="0" distT="0" distL="0" distR="0">
          <wp:extent cx="6832600" cy="2857500"/>
          <wp:effectExtent b="0" l="0" r="0" t="0"/>
          <wp:docPr descr="Immagine che contiene schermata, testo, pallone&#10;&#10;Descrizione generata automaticamente" id="9" name="image1.png"/>
          <a:graphic>
            <a:graphicData uri="http://schemas.openxmlformats.org/drawingml/2006/picture">
              <pic:pic>
                <pic:nvPicPr>
                  <pic:cNvPr descr="Immagine che contiene schermata, testo, pallone&#10;&#10;Descrizione generata automaticamente" id="0" name="image1.png"/>
                  <pic:cNvPicPr preferRelativeResize="0"/>
                </pic:nvPicPr>
                <pic:blipFill>
                  <a:blip r:embed="rId1"/>
                  <a:srcRect b="0" l="0" r="0" t="0"/>
                  <a:stretch>
                    <a:fillRect/>
                  </a:stretch>
                </pic:blipFill>
                <pic:spPr>
                  <a:xfrm>
                    <a:off x="0" y="0"/>
                    <a:ext cx="6832600" cy="28575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it-I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e" w:default="1">
    <w:name w:val="Normal"/>
    <w:qFormat w:val="1"/>
  </w:style>
  <w:style w:type="paragraph" w:styleId="Titolo1">
    <w:name w:val="heading 1"/>
    <w:basedOn w:val="Normale"/>
    <w:next w:val="Normale"/>
    <w:uiPriority w:val="9"/>
    <w:qFormat w:val="1"/>
    <w:pPr>
      <w:keepNext w:val="1"/>
      <w:keepLines w:val="1"/>
      <w:spacing w:after="120" w:before="480"/>
      <w:outlineLvl w:val="0"/>
    </w:pPr>
    <w:rPr>
      <w:b w:val="1"/>
      <w:sz w:val="48"/>
      <w:szCs w:val="48"/>
    </w:rPr>
  </w:style>
  <w:style w:type="paragraph" w:styleId="Titolo2">
    <w:name w:val="heading 2"/>
    <w:basedOn w:val="Normale"/>
    <w:next w:val="Normale"/>
    <w:uiPriority w:val="9"/>
    <w:semiHidden w:val="1"/>
    <w:unhideWhenUsed w:val="1"/>
    <w:qFormat w:val="1"/>
    <w:pPr>
      <w:keepNext w:val="1"/>
      <w:keepLines w:val="1"/>
      <w:spacing w:after="80" w:before="360"/>
      <w:outlineLvl w:val="1"/>
    </w:pPr>
    <w:rPr>
      <w:b w:val="1"/>
      <w:sz w:val="36"/>
      <w:szCs w:val="36"/>
    </w:rPr>
  </w:style>
  <w:style w:type="paragraph" w:styleId="Titolo3">
    <w:name w:val="heading 3"/>
    <w:basedOn w:val="Normale"/>
    <w:next w:val="Normale"/>
    <w:uiPriority w:val="9"/>
    <w:semiHidden w:val="1"/>
    <w:unhideWhenUsed w:val="1"/>
    <w:qFormat w:val="1"/>
    <w:pPr>
      <w:keepNext w:val="1"/>
      <w:keepLines w:val="1"/>
      <w:spacing w:after="80" w:before="280"/>
      <w:outlineLvl w:val="2"/>
    </w:pPr>
    <w:rPr>
      <w:b w:val="1"/>
      <w:sz w:val="28"/>
      <w:szCs w:val="28"/>
    </w:rPr>
  </w:style>
  <w:style w:type="paragraph" w:styleId="Titolo4">
    <w:name w:val="heading 4"/>
    <w:basedOn w:val="Normale"/>
    <w:next w:val="Normale"/>
    <w:uiPriority w:val="9"/>
    <w:semiHidden w:val="1"/>
    <w:unhideWhenUsed w:val="1"/>
    <w:qFormat w:val="1"/>
    <w:pPr>
      <w:keepNext w:val="1"/>
      <w:keepLines w:val="1"/>
      <w:spacing w:after="40" w:before="240"/>
      <w:outlineLvl w:val="3"/>
    </w:pPr>
    <w:rPr>
      <w:b w:val="1"/>
    </w:rPr>
  </w:style>
  <w:style w:type="paragraph" w:styleId="Titolo5">
    <w:name w:val="heading 5"/>
    <w:basedOn w:val="Normale"/>
    <w:next w:val="Normale"/>
    <w:uiPriority w:val="9"/>
    <w:semiHidden w:val="1"/>
    <w:unhideWhenUsed w:val="1"/>
    <w:qFormat w:val="1"/>
    <w:pPr>
      <w:keepNext w:val="1"/>
      <w:keepLines w:val="1"/>
      <w:spacing w:after="40" w:before="220"/>
      <w:outlineLvl w:val="4"/>
    </w:pPr>
    <w:rPr>
      <w:b w:val="1"/>
      <w:sz w:val="22"/>
      <w:szCs w:val="22"/>
    </w:rPr>
  </w:style>
  <w:style w:type="paragraph" w:styleId="Titolo6">
    <w:name w:val="heading 6"/>
    <w:basedOn w:val="Normale"/>
    <w:next w:val="Normale"/>
    <w:uiPriority w:val="9"/>
    <w:semiHidden w:val="1"/>
    <w:unhideWhenUsed w:val="1"/>
    <w:qFormat w:val="1"/>
    <w:pPr>
      <w:keepNext w:val="1"/>
      <w:keepLines w:val="1"/>
      <w:spacing w:after="40" w:before="200"/>
      <w:outlineLvl w:val="5"/>
    </w:pPr>
    <w:rPr>
      <w:b w:val="1"/>
      <w:sz w:val="20"/>
      <w:szCs w:val="20"/>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character" w:styleId="IntestazioneCarattere" w:customStyle="1">
    <w:name w:val="Intestazione Carattere"/>
    <w:basedOn w:val="Carpredefinitoparagrafo"/>
    <w:link w:val="Intestazione"/>
    <w:uiPriority w:val="99"/>
    <w:qFormat w:val="1"/>
    <w:rsid w:val="00D959FD"/>
  </w:style>
  <w:style w:type="character" w:styleId="PidipaginaCarattere" w:customStyle="1">
    <w:name w:val="Piè di pagina Carattere"/>
    <w:basedOn w:val="Carpredefinitoparagrafo"/>
    <w:link w:val="Pidipagina"/>
    <w:uiPriority w:val="99"/>
    <w:qFormat w:val="1"/>
    <w:rsid w:val="00D959FD"/>
  </w:style>
  <w:style w:type="character" w:styleId="Collegamentoipertestuale">
    <w:name w:val="Hyperlink"/>
    <w:rPr>
      <w:color w:val="000080"/>
      <w:u w:val="single"/>
    </w:rPr>
  </w:style>
  <w:style w:type="paragraph" w:styleId="Heading" w:customStyle="1">
    <w:name w:val="Heading"/>
    <w:basedOn w:val="Normale"/>
    <w:next w:val="Corpotesto"/>
    <w:qFormat w:val="1"/>
    <w:pPr>
      <w:keepNext w:val="1"/>
      <w:spacing w:after="120" w:before="240"/>
    </w:pPr>
    <w:rPr>
      <w:rFonts w:ascii="Liberation Sans" w:cs="Arial Unicode MS" w:eastAsia="PingFang SC" w:hAnsi="Liberation Sans"/>
      <w:sz w:val="28"/>
      <w:szCs w:val="28"/>
    </w:rPr>
  </w:style>
  <w:style w:type="paragraph" w:styleId="Corpotesto">
    <w:name w:val="Body Text"/>
    <w:basedOn w:val="Normale"/>
    <w:pPr>
      <w:spacing w:after="140" w:line="276" w:lineRule="auto"/>
    </w:pPr>
  </w:style>
  <w:style w:type="paragraph" w:styleId="Elenco">
    <w:name w:val="List"/>
    <w:basedOn w:val="Corpotesto"/>
    <w:rPr>
      <w:rFonts w:cs="Arial Unicode MS"/>
    </w:rPr>
  </w:style>
  <w:style w:type="paragraph" w:styleId="Didascalia">
    <w:name w:val="caption"/>
    <w:basedOn w:val="Normale"/>
    <w:qFormat w:val="1"/>
    <w:pPr>
      <w:suppressLineNumbers w:val="1"/>
      <w:spacing w:after="120" w:before="120"/>
    </w:pPr>
    <w:rPr>
      <w:rFonts w:cs="Arial Unicode MS"/>
      <w:i w:val="1"/>
      <w:iCs w:val="1"/>
    </w:rPr>
  </w:style>
  <w:style w:type="paragraph" w:styleId="Index" w:customStyle="1">
    <w:name w:val="Index"/>
    <w:basedOn w:val="Normale"/>
    <w:qFormat w:val="1"/>
    <w:pPr>
      <w:suppressLineNumbers w:val="1"/>
    </w:pPr>
    <w:rPr>
      <w:rFonts w:cs="Arial Unicode MS"/>
    </w:rPr>
  </w:style>
  <w:style w:type="paragraph" w:styleId="Titolo">
    <w:name w:val="Title"/>
    <w:basedOn w:val="Normale"/>
    <w:next w:val="Normale"/>
    <w:uiPriority w:val="10"/>
    <w:qFormat w:val="1"/>
    <w:pPr>
      <w:keepNext w:val="1"/>
      <w:keepLines w:val="1"/>
      <w:spacing w:after="120" w:before="480"/>
    </w:pPr>
    <w:rPr>
      <w:b w:val="1"/>
      <w:sz w:val="72"/>
      <w:szCs w:val="72"/>
    </w:rPr>
  </w:style>
  <w:style w:type="paragraph" w:styleId="HeaderandFooter" w:customStyle="1">
    <w:name w:val="Header and Footer"/>
    <w:basedOn w:val="Normale"/>
    <w:qFormat w:val="1"/>
  </w:style>
  <w:style w:type="paragraph" w:styleId="Intestazione">
    <w:name w:val="header"/>
    <w:basedOn w:val="Normale"/>
    <w:link w:val="IntestazioneCarattere"/>
    <w:uiPriority w:val="99"/>
    <w:unhideWhenUsed w:val="1"/>
    <w:rsid w:val="00D959FD"/>
    <w:pPr>
      <w:tabs>
        <w:tab w:val="center" w:pos="4819"/>
        <w:tab w:val="right" w:pos="9638"/>
      </w:tabs>
    </w:pPr>
  </w:style>
  <w:style w:type="paragraph" w:styleId="Pidipagina">
    <w:name w:val="footer"/>
    <w:basedOn w:val="Normale"/>
    <w:link w:val="PidipaginaCarattere"/>
    <w:uiPriority w:val="99"/>
    <w:unhideWhenUsed w:val="1"/>
    <w:rsid w:val="00D959FD"/>
    <w:pPr>
      <w:tabs>
        <w:tab w:val="center" w:pos="4819"/>
        <w:tab w:val="right" w:pos="9638"/>
      </w:tabs>
    </w:pPr>
  </w:style>
  <w:style w:type="paragraph" w:styleId="BCBF-titoli" w:customStyle="1">
    <w:name w:val="BCBF-titoli"/>
    <w:basedOn w:val="Normale"/>
    <w:qFormat w:val="1"/>
    <w:rsid w:val="00277385"/>
    <w:rPr>
      <w:b w:val="1"/>
      <w:bCs w:val="1"/>
      <w:color w:val="ee7f00"/>
      <w:sz w:val="28"/>
      <w:szCs w:val="28"/>
    </w:rPr>
  </w:style>
  <w:style w:type="paragraph" w:styleId="BCBF-abstract" w:customStyle="1">
    <w:name w:val="BCBF-abstract"/>
    <w:basedOn w:val="Normale"/>
    <w:qFormat w:val="1"/>
    <w:rsid w:val="00277385"/>
    <w:rPr>
      <w:color w:val="e2007a"/>
      <w:sz w:val="28"/>
      <w:szCs w:val="28"/>
    </w:rPr>
  </w:style>
  <w:style w:type="paragraph" w:styleId="BCBF-testo" w:customStyle="1">
    <w:name w:val="BCBF-testo"/>
    <w:basedOn w:val="Normale"/>
    <w:qFormat w:val="1"/>
    <w:rsid w:val="00277385"/>
  </w:style>
  <w:style w:type="paragraph" w:styleId="Sottotitolo">
    <w:name w:val="Subtitle"/>
    <w:basedOn w:val="Normale"/>
    <w:next w:val="Normale"/>
    <w:uiPriority w:val="11"/>
    <w:qFormat w:val="1"/>
    <w:pPr>
      <w:keepNext w:val="1"/>
      <w:keepLines w:val="1"/>
      <w:spacing w:after="80" w:before="360"/>
    </w:pPr>
    <w:rPr>
      <w:rFonts w:ascii="Georgia" w:cs="Georgia" w:eastAsia="Georgia" w:hAnsi="Georgia"/>
      <w:i w:val="1"/>
      <w:color w:val="666666"/>
      <w:sz w:val="48"/>
      <w:szCs w:val="48"/>
    </w:rPr>
  </w:style>
  <w:style w:type="table" w:styleId="TableNormal" w:customStyle="1">
    <w:name w:val="Table Normal"/>
    <w:tblPr>
      <w:tblCellMar>
        <w:top w:w="0.0" w:type="dxa"/>
        <w:left w:w="0.0" w:type="dxa"/>
        <w:bottom w:w="0.0" w:type="dxa"/>
        <w:right w:w="0.0" w:type="dxa"/>
      </w:tblCellMar>
    </w:tbl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1" Type="http://schemas.openxmlformats.org/officeDocument/2006/relationships/hyperlink" Target="https://www.linkedin.com/company/bolognalicensingtradefair/about/" TargetMode="External"/><Relationship Id="rId10" Type="http://schemas.openxmlformats.org/officeDocument/2006/relationships/hyperlink" Target="https://www.bolognachildrensbookfair.com/about/bologna-licensing-trade-fair-kids/10822.html" TargetMode="External"/><Relationship Id="rId13" Type="http://schemas.openxmlformats.org/officeDocument/2006/relationships/header" Target="header1.xml"/><Relationship Id="rId12" Type="http://schemas.openxmlformats.org/officeDocument/2006/relationships/hyperlink" Target="mailto:Rossella.arena@brands-media.co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licensing@bolognafiere.it" TargetMode="Externa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yperlink" Target="https://www.bolognachildrensbookfair.com/premi/bologna-licensing-awards/shortlist-2024/12696.htm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k0SBzKFuhqmQ3QjVV2FBAN2BKg==">CgMxLjA4AHIhMTViMjNXU2xXY1VoV3ZELXNkdFh1RF9xSVNUdzBFVXpT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2024-03-25T15:19:00Z</dcterms:created>
  <dc:creator>1-5</dc:creator>
</cp:coreProperties>
</file>